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6F" w:rsidRDefault="00E85A6F">
      <w:pPr>
        <w:jc w:val="both"/>
      </w:pPr>
    </w:p>
    <w:p w:rsidR="00E85A6F" w:rsidRDefault="00E85A6F">
      <w:pPr>
        <w:jc w:val="center"/>
        <w:rPr>
          <w:b/>
        </w:rPr>
      </w:pPr>
    </w:p>
    <w:p w:rsidR="00E85A6F" w:rsidRDefault="00464B9F">
      <w:pPr>
        <w:jc w:val="center"/>
        <w:rPr>
          <w:b/>
        </w:rPr>
      </w:pPr>
      <w:r>
        <w:rPr>
          <w:b/>
        </w:rPr>
        <w:t>INSTRUÇÃO NORMATIVA Nº 001/2022</w:t>
      </w: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464B9F">
      <w:pPr>
        <w:spacing w:line="240" w:lineRule="auto"/>
        <w:ind w:left="4536"/>
        <w:jc w:val="both"/>
        <w:rPr>
          <w:b/>
          <w:i/>
        </w:rPr>
      </w:pPr>
      <w:r>
        <w:rPr>
          <w:b/>
          <w:i/>
        </w:rPr>
        <w:t>DISPÕE SOBRE ORIENTAÇÕES QUE ESTABELECEM PROCEDIMENTOS OPERACIONAIS SOBRE O PROCESSO DE AVALIAÇÃO DO DESEMPENHO ESCOLAR.</w:t>
      </w:r>
    </w:p>
    <w:p w:rsidR="00E85A6F" w:rsidRDefault="00E85A6F">
      <w:pPr>
        <w:ind w:left="5529"/>
        <w:jc w:val="both"/>
      </w:pPr>
    </w:p>
    <w:p w:rsidR="00E85A6F" w:rsidRDefault="00E85A6F">
      <w:pPr>
        <w:ind w:left="5529"/>
        <w:jc w:val="both"/>
      </w:pPr>
    </w:p>
    <w:p w:rsidR="00E85A6F" w:rsidRDefault="005D446C">
      <w:pPr>
        <w:jc w:val="both"/>
      </w:pPr>
      <w:r>
        <w:t>A SECRETA</w:t>
      </w:r>
      <w:r w:rsidR="00464B9F">
        <w:t xml:space="preserve">RIA MUNICIPAL DE EDUCAÇÃO DE JOÃO COSTA-PI, neste ato representado pelo seu Secretário, no uso de suas atribuições legais, </w:t>
      </w:r>
    </w:p>
    <w:p w:rsidR="00E85A6F" w:rsidRDefault="00E85A6F">
      <w:pPr>
        <w:jc w:val="both"/>
      </w:pPr>
    </w:p>
    <w:p w:rsidR="00E85A6F" w:rsidRDefault="00464B9F">
      <w:pPr>
        <w:jc w:val="both"/>
      </w:pPr>
      <w:r>
        <w:t>CONSIDERANDO a necessidade de melhor orientar as ações referentes ao processo de avaliação do desempenho escolar;</w:t>
      </w:r>
    </w:p>
    <w:p w:rsidR="00E85A6F" w:rsidRDefault="00E85A6F">
      <w:pPr>
        <w:jc w:val="both"/>
      </w:pPr>
    </w:p>
    <w:p w:rsidR="00E85A6F" w:rsidRDefault="00464B9F">
      <w:pPr>
        <w:jc w:val="both"/>
      </w:pPr>
      <w:r>
        <w:t>CONSIDE</w:t>
      </w:r>
      <w:r>
        <w:t>RANDO os demais normativos adicionais a respeito do calendário e de ações a serem desenvolvidas nas escolas da rede pública municipal de ensino.</w:t>
      </w:r>
    </w:p>
    <w:p w:rsidR="00E85A6F" w:rsidRDefault="00E85A6F">
      <w:pPr>
        <w:jc w:val="both"/>
      </w:pPr>
    </w:p>
    <w:p w:rsidR="00E85A6F" w:rsidRDefault="00464B9F">
      <w:pPr>
        <w:jc w:val="center"/>
        <w:rPr>
          <w:b/>
          <w:u w:val="single"/>
        </w:rPr>
      </w:pPr>
      <w:r>
        <w:rPr>
          <w:b/>
          <w:u w:val="single"/>
        </w:rPr>
        <w:t>RESOLVE:</w:t>
      </w:r>
    </w:p>
    <w:p w:rsidR="00E85A6F" w:rsidRDefault="00E85A6F">
      <w:pPr>
        <w:jc w:val="both"/>
      </w:pPr>
    </w:p>
    <w:p w:rsidR="00E85A6F" w:rsidRDefault="00464B9F">
      <w:pPr>
        <w:jc w:val="both"/>
      </w:pPr>
      <w:r>
        <w:t>Art. 1º. Determinar que os períodos avaliativos sejam organizados conforme dispõe o quadro de avalia</w:t>
      </w:r>
      <w:r>
        <w:t>ções - anexo I.</w:t>
      </w:r>
    </w:p>
    <w:p w:rsidR="00E85A6F" w:rsidRDefault="00E85A6F">
      <w:pPr>
        <w:jc w:val="both"/>
      </w:pPr>
    </w:p>
    <w:p w:rsidR="00E85A6F" w:rsidRDefault="00464B9F">
      <w:pPr>
        <w:jc w:val="both"/>
      </w:pPr>
      <w:r>
        <w:t>Art. 2º. Definir que a ficha utilizada para planejamento permaneça a mesma anterior, respeitando-se as alterações necessárias para o período presencial.</w:t>
      </w:r>
    </w:p>
    <w:p w:rsidR="00E85A6F" w:rsidRDefault="00E85A6F">
      <w:pPr>
        <w:jc w:val="both"/>
      </w:pPr>
    </w:p>
    <w:p w:rsidR="00E85A6F" w:rsidRDefault="00464B9F">
      <w:pPr>
        <w:jc w:val="both"/>
      </w:pPr>
      <w:r>
        <w:t>Art. 3º. Definir que na Educação Infantil, o aluno seja acompanhado individualmente p</w:t>
      </w:r>
      <w:r>
        <w:t>or meio de ficha-relatório bimestral e relatório descritivo semestral.</w:t>
      </w:r>
    </w:p>
    <w:p w:rsidR="00E85A6F" w:rsidRDefault="00E85A6F">
      <w:pPr>
        <w:jc w:val="both"/>
      </w:pPr>
    </w:p>
    <w:p w:rsidR="00E85A6F" w:rsidRDefault="00464B9F">
      <w:pPr>
        <w:jc w:val="both"/>
      </w:pPr>
      <w:r>
        <w:t xml:space="preserve">Art. 4º. Orientar a gestão e a coordenação pedagógica das escolas a organizar nos dias pedagógicos previstos no Calendário Letivo 2022: </w:t>
      </w:r>
    </w:p>
    <w:p w:rsidR="00E85A6F" w:rsidRDefault="00464B9F">
      <w:pPr>
        <w:jc w:val="both"/>
      </w:pPr>
      <w:r>
        <w:t>§ 1º - Momentos de construção e entrega do plan</w:t>
      </w:r>
      <w:r>
        <w:t xml:space="preserve">ejamento mensal. </w:t>
      </w:r>
    </w:p>
    <w:p w:rsidR="00E85A6F" w:rsidRDefault="00464B9F">
      <w:pPr>
        <w:jc w:val="both"/>
      </w:pPr>
      <w:r>
        <w:t>§ 2º - Formação continuada com indicação de percursos formativos presenciais e online, palestras, oficinas e outros instrumentos formativos (preferencialmente aos sábados letivos ou pedagógicos).</w:t>
      </w:r>
    </w:p>
    <w:p w:rsidR="00E85A6F" w:rsidRDefault="00E85A6F">
      <w:pPr>
        <w:jc w:val="both"/>
      </w:pPr>
    </w:p>
    <w:p w:rsidR="00E85A6F" w:rsidRDefault="00464B9F">
      <w:pPr>
        <w:jc w:val="both"/>
      </w:pPr>
      <w:r>
        <w:t>Art. 5°. Quanto aos instrumentos de avaliação, deve</w:t>
      </w:r>
      <w:r w:rsidR="007A7A65">
        <w:t>m</w:t>
      </w:r>
      <w:r>
        <w:t xml:space="preserve"> ser empregado</w:t>
      </w:r>
      <w:r w:rsidR="007A7A65">
        <w:t>s</w:t>
      </w:r>
      <w:bookmarkStart w:id="0" w:name="_GoBack"/>
      <w:bookmarkEnd w:id="0"/>
      <w:r>
        <w:t xml:space="preserve"> no mínimo, dois instrumentos diversificado</w:t>
      </w:r>
      <w:r w:rsidR="005D446C">
        <w:t>s</w:t>
      </w:r>
      <w:r>
        <w:t xml:space="preserve"> para verificar se as habilidades propostas em seu planejamento foram desenvolvidas pelo estudante, de forma a garantir a prevalência dos aspectos q</w:t>
      </w:r>
      <w:r>
        <w:t xml:space="preserve">ualitativos, sobre os quantitativos </w:t>
      </w:r>
      <w:r w:rsidR="005D446C">
        <w:t>(Art. 24 –V, LDB). Sendo eles: a</w:t>
      </w:r>
      <w:r>
        <w:t xml:space="preserve"> avaliação qualitativa (AQ) e a avaliação quantitativa (AQT). A nota atribuída a esses instrumentos avaliativos comporá a média bimestral do discente.</w:t>
      </w:r>
    </w:p>
    <w:p w:rsidR="00E85A6F" w:rsidRDefault="00E85A6F">
      <w:pPr>
        <w:jc w:val="both"/>
      </w:pPr>
    </w:p>
    <w:p w:rsidR="00E85A6F" w:rsidRDefault="00464B9F">
      <w:pPr>
        <w:jc w:val="both"/>
      </w:pPr>
      <w:r>
        <w:t>Art. 6° - A avaliação qualitativa (A</w:t>
      </w:r>
      <w:r>
        <w:t>Q), comum a todos os componentes curriculares de 1° ao 9° ano do ensino fundamental, deve ser compreendida como uma prática “processual, contínua e cumulativa da avaliação sendo, assim, menos processo de medição e, mais, busca de aferição de conhecimento c</w:t>
      </w:r>
      <w:r>
        <w:t xml:space="preserve">ontextualizado” e o rendimento da prática educativa. </w:t>
      </w:r>
    </w:p>
    <w:p w:rsidR="00E85A6F" w:rsidRDefault="00464B9F">
      <w:pPr>
        <w:jc w:val="both"/>
      </w:pPr>
      <w:r>
        <w:t xml:space="preserve">§1°- Na avaliação qualitativa (AQ), o estudante será avaliado no decorrer do bimestre seguindo dois critérios: produção textual/outros - corresponderá 50% do total da nota e participação/protagonismo - </w:t>
      </w:r>
      <w:r>
        <w:t>corresponderá 50% do total da nota. Lembrando que a produção textual deverá envolver todos os componentes curriculares, diferente da redação, avaliada em Língua portuguesa.</w:t>
      </w:r>
    </w:p>
    <w:p w:rsidR="00E85A6F" w:rsidRDefault="00464B9F">
      <w:pPr>
        <w:jc w:val="both"/>
      </w:pPr>
      <w:r>
        <w:t>§2°- Os procedimentos avaliativos (AQ) bimestralmente nas escolas tomem como base o</w:t>
      </w:r>
      <w:r>
        <w:t>s seguintes aspectos constitutivos:</w:t>
      </w:r>
    </w:p>
    <w:p w:rsidR="00E85A6F" w:rsidRDefault="0046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Oralidade (3,0 pontos): prática da oralidade que compreendam linguagem que ocorrem: aula dialogada, mensagem gravada, seminário, debate, declamação de poema, com seus efeitos sonoros, peça teatral, rodas de leitura e co</w:t>
      </w:r>
      <w:r>
        <w:rPr>
          <w:color w:val="000000"/>
        </w:rPr>
        <w:t xml:space="preserve">nversa, teste oral, participação em sala de aula entre outras ações previamente combinadas com a coordenação. </w:t>
      </w:r>
    </w:p>
    <w:p w:rsidR="00E85A6F" w:rsidRDefault="0046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Produção em sala (3,0 pontos): cartazes, murais, produção textuais (gêneros variados), seminários entre outras ações previamente combinadas com </w:t>
      </w:r>
      <w:r>
        <w:rPr>
          <w:color w:val="000000"/>
        </w:rPr>
        <w:t xml:space="preserve">a coordenação. </w:t>
      </w:r>
    </w:p>
    <w:p w:rsidR="00E85A6F" w:rsidRDefault="0046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Atividades para casa (2,0 ponto</w:t>
      </w:r>
      <w:r w:rsidR="005D446C">
        <w:rPr>
          <w:color w:val="000000"/>
        </w:rPr>
        <w:t>s</w:t>
      </w:r>
      <w:r>
        <w:rPr>
          <w:color w:val="000000"/>
        </w:rPr>
        <w:t xml:space="preserve">): leituras das literaturas indicadas, atividades propostas pelo professor, entre outras ações previamente combinadas com a coordenação. </w:t>
      </w:r>
    </w:p>
    <w:p w:rsidR="00E85A6F" w:rsidRDefault="0046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Atividade em sala de aula (2,0 pontos): leitura e interpretação textua</w:t>
      </w:r>
      <w:r>
        <w:rPr>
          <w:color w:val="000000"/>
        </w:rPr>
        <w:t xml:space="preserve">l, produção textual, atividades propostas pelo professor como teste e entre outras ações previamente combinadas com a coordenação. </w:t>
      </w:r>
    </w:p>
    <w:p w:rsidR="00E85A6F" w:rsidRDefault="00E85A6F">
      <w:pPr>
        <w:jc w:val="both"/>
      </w:pPr>
    </w:p>
    <w:p w:rsidR="00E85A6F" w:rsidRDefault="00464B9F">
      <w:pPr>
        <w:jc w:val="both"/>
      </w:pPr>
      <w:r>
        <w:t>Art. 7° - Os procedimentos avaliativos devem, bimestralmente, serem registrados pelo professor em uma ficha de acompanhamen</w:t>
      </w:r>
      <w:r>
        <w:t>to (anexo II) e entregue à secretaria escolar ao término de cada bimestre.</w:t>
      </w:r>
    </w:p>
    <w:p w:rsidR="00E85A6F" w:rsidRDefault="00E85A6F">
      <w:pPr>
        <w:jc w:val="both"/>
      </w:pPr>
    </w:p>
    <w:p w:rsidR="00E85A6F" w:rsidRDefault="00464B9F">
      <w:pPr>
        <w:jc w:val="both"/>
      </w:pPr>
      <w:r>
        <w:t xml:space="preserve">Art. 8° - A avaliação quantitativa (AQT) deverá conter no mínimo 8 questões/itens contextualizados, podendo ser inserida interpretação textual, </w:t>
      </w:r>
      <w:r w:rsidR="005D446C">
        <w:t xml:space="preserve">de forma objetiva e subjetiva, </w:t>
      </w:r>
      <w:r>
        <w:t>em t</w:t>
      </w:r>
      <w:r>
        <w:t>odos os componentes curriculares, principalmente nos anos finais do ensino fundamental.</w:t>
      </w:r>
    </w:p>
    <w:p w:rsidR="00E85A6F" w:rsidRDefault="00E85A6F">
      <w:pPr>
        <w:jc w:val="both"/>
      </w:pPr>
    </w:p>
    <w:p w:rsidR="00E85A6F" w:rsidRDefault="00464B9F">
      <w:pPr>
        <w:jc w:val="both"/>
      </w:pPr>
      <w:r>
        <w:t xml:space="preserve">Art. 9° - Como critério geral de aprovação, nessa avaliação, o aluno deverá perfazer o mínimo de 6,0 (seis) pontos, resultantes do somatório dos dois critérios. </w:t>
      </w:r>
    </w:p>
    <w:p w:rsidR="00E85A6F" w:rsidRDefault="00E85A6F">
      <w:pPr>
        <w:jc w:val="both"/>
      </w:pPr>
    </w:p>
    <w:p w:rsidR="00E85A6F" w:rsidRDefault="00464B9F">
      <w:pPr>
        <w:jc w:val="both"/>
      </w:pPr>
      <w:r>
        <w:t>Art.</w:t>
      </w:r>
      <w:r>
        <w:t xml:space="preserve"> 10° - A média semestral (MB) representa a síntese da aprendizagem do educando no bimestre. Trata-se, portanto, de um dado avaliativo de caráter cumulativo e representa o desempenho bimestral do estudante em cada componente curricular. Ao término de cada b</w:t>
      </w:r>
      <w:r>
        <w:t xml:space="preserve">imestre aplica-se a fórmula </w:t>
      </w:r>
      <m:oMath>
        <m:r>
          <w:rPr>
            <w:rFonts w:ascii="Cambria Math" w:eastAsia="Cambria Math" w:hAnsi="Cambria Math" w:cs="Cambria Math"/>
          </w:rPr>
          <m:t xml:space="preserve">   </m:t>
        </m:r>
        <m:r>
          <w:rPr>
            <w:rFonts w:ascii="Cambria Math" w:eastAsia="Cambria Math" w:hAnsi="Cambria Math" w:cs="Cambria Math"/>
          </w:rPr>
          <m:t>MB</m:t>
        </m:r>
        <m: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AQ</m:t>
            </m:r>
            <m:r>
              <w:rPr>
                <w:rFonts w:ascii="Cambria Math" w:eastAsia="Cambria Math" w:hAnsi="Cambria Math" w:cs="Cambria Math"/>
              </w:rPr>
              <m:t>+</m:t>
            </m:r>
            <m:r>
              <w:rPr>
                <w:rFonts w:ascii="Cambria Math" w:eastAsia="Cambria Math" w:hAnsi="Cambria Math" w:cs="Cambria Math"/>
              </w:rPr>
              <m:t>AQT</m:t>
            </m:r>
          </m:num>
          <m:den>
            <m:r>
              <w:rPr>
                <w:rFonts w:ascii="Cambria Math" w:eastAsia="Cambria Math" w:hAnsi="Cambria Math" w:cs="Cambria Math"/>
              </w:rPr>
              <m:t>2</m:t>
            </m:r>
          </m:den>
        </m:f>
      </m:oMath>
      <w:r>
        <w:t xml:space="preserve">  para calcular a média do bimestre.</w:t>
      </w:r>
    </w:p>
    <w:p w:rsidR="00E85A6F" w:rsidRDefault="00464B9F">
      <w:pPr>
        <w:jc w:val="both"/>
      </w:pPr>
      <w:r>
        <w:t>Art. 11° – A recuperação Semestral (RS) é um momento avaliativo que se configura como uma estratégia de recuperação processual da aprendizagem devendo ser planejada, com f</w:t>
      </w:r>
      <w:r>
        <w:t>oco nas habilidades que não foram consolidadas no decorrer do semestre.</w:t>
      </w:r>
    </w:p>
    <w:p w:rsidR="00E85A6F" w:rsidRDefault="00464B9F">
      <w:pPr>
        <w:jc w:val="both"/>
      </w:pPr>
      <w:r>
        <w:tab/>
        <w:t xml:space="preserve">§1°- Finalizando o semestre, o aluno que, no componente curricular não tenha alcançado a média mínima de 6,0 (seis) pontos na média semestral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MB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MB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Cambria Math" w:hAnsi="Cambria Math" w:cs="Cambria Math"/>
                  </w:rPr>
                  <m:t>2</m:t>
                </m:r>
              </m:den>
            </m:f>
          </m:e>
        </m:d>
      </m:oMath>
      <w:r w:rsidR="005D446C">
        <w:t xml:space="preserve">, </w:t>
      </w:r>
      <w:r>
        <w:t>deverá submeter-se à recupe</w:t>
      </w:r>
      <w:r>
        <w:t>ração semestral e ao reforço de aprendizagem. Para isso, recomenda-se ao aluno frequentar as aulas de recuperação/reforço escolar.</w:t>
      </w:r>
    </w:p>
    <w:p w:rsidR="00E85A6F" w:rsidRDefault="00464B9F">
      <w:pPr>
        <w:jc w:val="both"/>
      </w:pPr>
      <w:r>
        <w:tab/>
        <w:t>§2°- O aluno que, não comparecer a todas as avaliações previstas no semestre, sem justificativas, não terá direito à recuper</w:t>
      </w:r>
      <w:r>
        <w:t>ação semestral.</w:t>
      </w:r>
    </w:p>
    <w:p w:rsidR="00E85A6F" w:rsidRDefault="00464B9F">
      <w:pPr>
        <w:ind w:firstLine="708"/>
        <w:jc w:val="both"/>
      </w:pPr>
      <w:r>
        <w:t xml:space="preserve">§3°- Na recuperação semestral o aluno será avaliado em </w:t>
      </w:r>
      <w:r>
        <w:rPr>
          <w:color w:val="000000"/>
        </w:rPr>
        <w:t>uma escala de 0 (zero) a 10 (dez) e a nota alcançada substituirá a média do semestre, caso seja maior que a nota já existente; caso contrário, permanecerá</w:t>
      </w:r>
      <w:r>
        <w:t xml:space="preserve"> </w:t>
      </w:r>
      <w:r>
        <w:rPr>
          <w:color w:val="000000"/>
        </w:rPr>
        <w:t>a</w:t>
      </w:r>
      <w:r>
        <w:rPr>
          <w:color w:val="ED7D31"/>
        </w:rPr>
        <w:t xml:space="preserve"> </w:t>
      </w:r>
      <w:r>
        <w:rPr>
          <w:color w:val="000000"/>
        </w:rPr>
        <w:t>mesma</w:t>
      </w:r>
      <w:r>
        <w:rPr>
          <w:color w:val="ED7D31"/>
        </w:rPr>
        <w:t xml:space="preserve"> </w:t>
      </w:r>
      <w:r>
        <w:t xml:space="preserve">obtida pelo estudante no semestre. A avaliação de recuperação, deverá ser objetiva contendo o mínimo de 10 questões/itens contextualizados, conforme rege o currículo do nosso estado. </w:t>
      </w:r>
    </w:p>
    <w:p w:rsidR="00E85A6F" w:rsidRDefault="00464B9F">
      <w:pPr>
        <w:jc w:val="both"/>
      </w:pPr>
      <w:r>
        <w:t>Art.12° - Após a segunda recuperação semestral (RS), apura-se a média an</w:t>
      </w:r>
      <w:r>
        <w:t xml:space="preserve">ual </w:t>
      </w:r>
      <m:oMath>
        <m:r>
          <w:rPr>
            <w:rFonts w:ascii="Cambria Math" w:eastAsia="Cambria Math" w:hAnsi="Cambria Math" w:cs="Cambria Math"/>
          </w:rPr>
          <m:t>MA</m:t>
        </m:r>
        <m:r>
          <w:rPr>
            <w:rFonts w:ascii="Cambria Math" w:eastAsia="Cambria Math" w:hAnsi="Cambria Math" w:cs="Cambria Math"/>
          </w:rPr>
          <m:t>=</m:t>
        </m:r>
        <m:d>
          <m:dPr>
            <m:ctrlPr>
              <w:rPr>
                <w:rFonts w:ascii="Cambria Math" w:eastAsia="Cambria Math" w:hAnsi="Cambria Math" w:cs="Cambria Math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MS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F</m:t>
                    </m:r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MS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F</m:t>
                    </m:r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Cambria Math" w:hAnsi="Cambria Math" w:cs="Cambria Math"/>
                  </w:rPr>
                  <m:t>2</m:t>
                </m:r>
              </m:den>
            </m:f>
          </m:e>
        </m:d>
      </m:oMath>
      <w:r>
        <w:t xml:space="preserve"> de caráter cumulativo e representa o desempenho anual do estudante em cada componente curricular. O ESTUDANTE que atingir uma média anual (MA) igual ou superior a 6,0 (seis) estará aprovado por média.</w:t>
      </w:r>
    </w:p>
    <w:p w:rsidR="00E85A6F" w:rsidRDefault="00464B9F">
      <w:pPr>
        <w:jc w:val="both"/>
      </w:pPr>
      <w:r>
        <w:tab/>
      </w:r>
      <w:r>
        <w:t>PARAGRAFO ÚNICO - Após ter submetido a (1ª e 2ª RS) e não tendo alcançado a média anual (MA) igual a 4,0 (quatro) em qualquer componente curricular o aluno é considerado inapto a promoção, devendo portanto repetir o ano letivo. Terá casos que pode ser subm</w:t>
      </w:r>
      <w:r>
        <w:t>etido ao conselho de classe para que possa dar mais uma oportunidade, para a realização da Prova final. Mas, para isso o conselho de classe deverá emitir um parecer conclusivo sobre a decisão e anexar à documentação do aluno.</w:t>
      </w:r>
    </w:p>
    <w:p w:rsidR="00E85A6F" w:rsidRDefault="00464B9F">
      <w:pPr>
        <w:jc w:val="both"/>
      </w:pPr>
      <w:r>
        <w:tab/>
        <w:t>Art.13° - A PROVA FINAL (PF),</w:t>
      </w:r>
      <w:r>
        <w:t xml:space="preserve"> consiste em mais uma oportunidade que o aluno terá para avançar em seu desempenho e obter êxito em seu processo de construção do seu conhecimento.</w:t>
      </w:r>
    </w:p>
    <w:p w:rsidR="00E85A6F" w:rsidRDefault="00464B9F">
      <w:pPr>
        <w:ind w:firstLine="708"/>
        <w:jc w:val="both"/>
      </w:pPr>
      <w:r>
        <w:t>§1°- Será ofertado aos estudantes que apresentarem a frequência mínima de 75% da carga horária total anual p</w:t>
      </w:r>
      <w:r>
        <w:t>revista no calendário escolar, tendo ou não passado pelos processos de recuperação semestral do 1° e 2° semestre. Tendo alcançado a média anual (MA) inferior a 6,0 (seis) e superior e igual a 4,0 (quatro) em qualquer componente curricular.</w:t>
      </w:r>
    </w:p>
    <w:p w:rsidR="00E85A6F" w:rsidRDefault="00464B9F">
      <w:pPr>
        <w:ind w:firstLine="708"/>
        <w:jc w:val="both"/>
      </w:pPr>
      <w:r>
        <w:t>§2°- Para a real</w:t>
      </w:r>
      <w:r>
        <w:t>ização da PROVA FINAL, é recomendado o aluno a assistir as aulas de recuperação, para que possa adquirir as habilidades necessárias ainda não alcançadas.  A avaliação é composta por 20 questões/itens contextualizadas e objetivas, onde por hipótese alguma s</w:t>
      </w:r>
      <w:r>
        <w:t>erá permitido nenhum tipo de pesquisa. O aluno será avaliado em uma escala de 0 (zero) a 10 (dez), em que deverá obter uma nota superior ou igual a 6,0 (seis) para ser aprovado/promovido para o ano seguinte.</w:t>
      </w:r>
    </w:p>
    <w:p w:rsidR="00E85A6F" w:rsidRDefault="00E85A6F">
      <w:pPr>
        <w:ind w:firstLine="708"/>
        <w:jc w:val="both"/>
      </w:pPr>
    </w:p>
    <w:p w:rsidR="00E85A6F" w:rsidRDefault="00E85A6F">
      <w:pPr>
        <w:ind w:firstLine="708"/>
        <w:jc w:val="both"/>
      </w:pPr>
    </w:p>
    <w:p w:rsidR="00E85A6F" w:rsidRDefault="00464B9F">
      <w:pPr>
        <w:jc w:val="center"/>
      </w:pPr>
      <w:r>
        <w:rPr>
          <w:smallCaps/>
        </w:rPr>
        <w:t>REGISTRE-SE, PUBLIQUE E CUMPRA-SE</w:t>
      </w:r>
      <w:r>
        <w:t>.</w:t>
      </w:r>
    </w:p>
    <w:p w:rsidR="00E85A6F" w:rsidRDefault="00E85A6F">
      <w:pPr>
        <w:jc w:val="center"/>
      </w:pPr>
    </w:p>
    <w:p w:rsidR="00E85A6F" w:rsidRDefault="00464B9F">
      <w:pPr>
        <w:jc w:val="right"/>
      </w:pPr>
      <w:r>
        <w:t>Gabinete d</w:t>
      </w:r>
      <w:r>
        <w:t>o Secretário Municipal de Educação, 06 de abril de 2022</w:t>
      </w:r>
    </w:p>
    <w:p w:rsidR="00E85A6F" w:rsidRDefault="00E85A6F">
      <w:pPr>
        <w:jc w:val="both"/>
      </w:pPr>
    </w:p>
    <w:p w:rsidR="00E85A6F" w:rsidRDefault="00E85A6F">
      <w:pPr>
        <w:jc w:val="center"/>
      </w:pPr>
    </w:p>
    <w:p w:rsidR="00E85A6F" w:rsidRDefault="00464B9F">
      <w:pPr>
        <w:jc w:val="center"/>
      </w:pPr>
      <w:r>
        <w:t>_______________________________________________</w:t>
      </w:r>
    </w:p>
    <w:p w:rsidR="00E85A6F" w:rsidRDefault="00464B9F">
      <w:pPr>
        <w:jc w:val="center"/>
        <w:rPr>
          <w:b/>
        </w:rPr>
      </w:pPr>
      <w:r>
        <w:rPr>
          <w:b/>
        </w:rPr>
        <w:t>ACÁSSIO FERREIRA GOMES</w:t>
      </w:r>
    </w:p>
    <w:p w:rsidR="00E85A6F" w:rsidRDefault="00464B9F">
      <w:pPr>
        <w:jc w:val="center"/>
      </w:pPr>
      <w:r>
        <w:t>Secretário municipal de educação</w:t>
      </w:r>
    </w:p>
    <w:p w:rsidR="00E85A6F" w:rsidRDefault="00E85A6F">
      <w:pPr>
        <w:jc w:val="center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464B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CRONOGRAMA DAS AVALIAÇÕES – ANEXO 1</w:t>
      </w:r>
    </w:p>
    <w:p w:rsidR="00E85A6F" w:rsidRDefault="00E85A6F">
      <w:pPr>
        <w:jc w:val="center"/>
        <w:rPr>
          <w:rFonts w:ascii="Arial" w:eastAsia="Arial" w:hAnsi="Arial" w:cs="Arial"/>
          <w:b/>
        </w:rPr>
      </w:pPr>
    </w:p>
    <w:tbl>
      <w:tblPr>
        <w:tblStyle w:val="a"/>
        <w:tblW w:w="101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8"/>
        <w:gridCol w:w="2283"/>
        <w:gridCol w:w="2268"/>
        <w:gridCol w:w="1684"/>
        <w:gridCol w:w="1637"/>
      </w:tblGrid>
      <w:tr w:rsidR="00E85A6F">
        <w:trPr>
          <w:jc w:val="center"/>
        </w:trPr>
        <w:tc>
          <w:tcPr>
            <w:tcW w:w="2248" w:type="dxa"/>
            <w:shd w:val="clear" w:color="auto" w:fill="FFD965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Períodos</w:t>
            </w: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Bimestre</w:t>
            </w:r>
          </w:p>
        </w:tc>
        <w:tc>
          <w:tcPr>
            <w:tcW w:w="2283" w:type="dxa"/>
            <w:shd w:val="clear" w:color="auto" w:fill="FFD965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Fechamento do processo avaliativo </w:t>
            </w:r>
            <w:r>
              <w:rPr>
                <w:rFonts w:ascii="Arial" w:eastAsia="Arial" w:hAnsi="Arial" w:cs="Arial"/>
                <w:sz w:val="22"/>
                <w:szCs w:val="22"/>
              </w:rPr>
              <w:t>(qualitativo)</w:t>
            </w:r>
          </w:p>
        </w:tc>
        <w:tc>
          <w:tcPr>
            <w:tcW w:w="2268" w:type="dxa"/>
            <w:shd w:val="clear" w:color="auto" w:fill="FFD965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de avaliação (quantitativo)</w:t>
            </w:r>
          </w:p>
        </w:tc>
        <w:tc>
          <w:tcPr>
            <w:tcW w:w="1684" w:type="dxa"/>
            <w:shd w:val="clear" w:color="auto" w:fill="FFD965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limite para o envio da avaliação, no e-mail da escola.</w:t>
            </w:r>
          </w:p>
        </w:tc>
        <w:tc>
          <w:tcPr>
            <w:tcW w:w="1637" w:type="dxa"/>
            <w:shd w:val="clear" w:color="auto" w:fill="FFD965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limite para entrega da ficha de notas na secretaria da escola</w:t>
            </w:r>
          </w:p>
        </w:tc>
      </w:tr>
      <w:tr w:rsidR="00E85A6F">
        <w:trPr>
          <w:jc w:val="center"/>
        </w:trPr>
        <w:tc>
          <w:tcPr>
            <w:tcW w:w="2248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1° Bimestre</w:t>
            </w: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01-03 a 30-04-2022</w:t>
            </w:r>
          </w:p>
        </w:tc>
        <w:tc>
          <w:tcPr>
            <w:tcW w:w="2283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20/04/2022</w:t>
            </w:r>
          </w:p>
        </w:tc>
        <w:tc>
          <w:tcPr>
            <w:tcW w:w="2268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26/04 a 29/04/2022</w:t>
            </w:r>
          </w:p>
        </w:tc>
        <w:tc>
          <w:tcPr>
            <w:tcW w:w="1684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18/04/2022</w:t>
            </w:r>
          </w:p>
        </w:tc>
        <w:tc>
          <w:tcPr>
            <w:tcW w:w="1637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13/05/2022</w:t>
            </w:r>
          </w:p>
        </w:tc>
      </w:tr>
      <w:tr w:rsidR="00E85A6F">
        <w:trPr>
          <w:jc w:val="center"/>
        </w:trPr>
        <w:tc>
          <w:tcPr>
            <w:tcW w:w="2248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2° Bimestre</w:t>
            </w: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02-05 a 01-07-2022</w:t>
            </w:r>
          </w:p>
        </w:tc>
        <w:tc>
          <w:tcPr>
            <w:tcW w:w="2283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20/06/2022</w:t>
            </w:r>
          </w:p>
        </w:tc>
        <w:tc>
          <w:tcPr>
            <w:tcW w:w="2268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27/06 a 30/06/2022</w:t>
            </w:r>
          </w:p>
        </w:tc>
        <w:tc>
          <w:tcPr>
            <w:tcW w:w="1684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17/06/2022</w:t>
            </w:r>
          </w:p>
        </w:tc>
        <w:tc>
          <w:tcPr>
            <w:tcW w:w="1637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11/07/2022</w:t>
            </w:r>
          </w:p>
        </w:tc>
      </w:tr>
      <w:tr w:rsidR="00E85A6F">
        <w:trPr>
          <w:trHeight w:val="759"/>
          <w:jc w:val="center"/>
        </w:trPr>
        <w:tc>
          <w:tcPr>
            <w:tcW w:w="2248" w:type="dxa"/>
            <w:shd w:val="clear" w:color="auto" w:fill="FFF2CC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Reforço escolar e</w:t>
            </w: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RECUPERAÇÃO</w:t>
            </w: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1° Semestre</w:t>
            </w:r>
          </w:p>
        </w:tc>
        <w:tc>
          <w:tcPr>
            <w:tcW w:w="2283" w:type="dxa"/>
            <w:shd w:val="clear" w:color="auto" w:fill="FFF2CC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Reforço escolar para todos os alunos </w:t>
            </w: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 a 15/07/2022</w:t>
            </w:r>
          </w:p>
        </w:tc>
        <w:tc>
          <w:tcPr>
            <w:tcW w:w="2268" w:type="dxa"/>
            <w:shd w:val="clear" w:color="auto" w:fill="FFF2CC"/>
          </w:tcPr>
          <w:p w:rsidR="00E85A6F" w:rsidRDefault="00E85A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18/07 a 22/07/2022</w:t>
            </w:r>
          </w:p>
        </w:tc>
        <w:tc>
          <w:tcPr>
            <w:tcW w:w="1684" w:type="dxa"/>
            <w:shd w:val="clear" w:color="auto" w:fill="FFF2CC"/>
          </w:tcPr>
          <w:p w:rsidR="00E85A6F" w:rsidRDefault="00E85A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12/07/2022</w:t>
            </w:r>
          </w:p>
        </w:tc>
        <w:tc>
          <w:tcPr>
            <w:tcW w:w="1637" w:type="dxa"/>
            <w:shd w:val="clear" w:color="auto" w:fill="FFF2CC"/>
          </w:tcPr>
          <w:p w:rsidR="00E85A6F" w:rsidRDefault="00E85A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05/08/2022</w:t>
            </w:r>
          </w:p>
        </w:tc>
      </w:tr>
      <w:tr w:rsidR="00E85A6F">
        <w:trPr>
          <w:jc w:val="center"/>
        </w:trPr>
        <w:tc>
          <w:tcPr>
            <w:tcW w:w="2248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3° Bimestre</w:t>
            </w: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04-08 a 30-09-2022</w:t>
            </w:r>
          </w:p>
        </w:tc>
        <w:tc>
          <w:tcPr>
            <w:tcW w:w="2283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23/09/2022</w:t>
            </w:r>
          </w:p>
        </w:tc>
        <w:tc>
          <w:tcPr>
            <w:tcW w:w="2268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27/09 a 30/09/2022</w:t>
            </w:r>
          </w:p>
        </w:tc>
        <w:tc>
          <w:tcPr>
            <w:tcW w:w="1684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19/09/2022</w:t>
            </w:r>
          </w:p>
        </w:tc>
        <w:tc>
          <w:tcPr>
            <w:tcW w:w="1637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08/10/2022</w:t>
            </w:r>
          </w:p>
        </w:tc>
      </w:tr>
      <w:tr w:rsidR="00E85A6F">
        <w:trPr>
          <w:jc w:val="center"/>
        </w:trPr>
        <w:tc>
          <w:tcPr>
            <w:tcW w:w="2248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4° Bimestre</w:t>
            </w: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03-10 a 02-12-2022</w:t>
            </w:r>
          </w:p>
        </w:tc>
        <w:tc>
          <w:tcPr>
            <w:tcW w:w="2283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25/11/2022</w:t>
            </w:r>
          </w:p>
        </w:tc>
        <w:tc>
          <w:tcPr>
            <w:tcW w:w="2268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28/11 a 01/12/2022</w:t>
            </w:r>
          </w:p>
        </w:tc>
        <w:tc>
          <w:tcPr>
            <w:tcW w:w="1684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21/11/2022</w:t>
            </w:r>
          </w:p>
        </w:tc>
        <w:tc>
          <w:tcPr>
            <w:tcW w:w="1637" w:type="dxa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07/12/2022</w:t>
            </w:r>
          </w:p>
        </w:tc>
      </w:tr>
      <w:tr w:rsidR="00E85A6F">
        <w:trPr>
          <w:trHeight w:val="759"/>
          <w:jc w:val="center"/>
        </w:trPr>
        <w:tc>
          <w:tcPr>
            <w:tcW w:w="2248" w:type="dxa"/>
            <w:shd w:val="clear" w:color="auto" w:fill="FFF2CC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Reforço escolar e</w:t>
            </w: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RECUPERAÇÃO</w:t>
            </w: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2° Semestre</w:t>
            </w:r>
          </w:p>
        </w:tc>
        <w:tc>
          <w:tcPr>
            <w:tcW w:w="2283" w:type="dxa"/>
            <w:shd w:val="clear" w:color="auto" w:fill="FFF2CC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Reforço escolar para todos os alunos </w:t>
            </w:r>
          </w:p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05 a 09/12/2022</w:t>
            </w:r>
          </w:p>
        </w:tc>
        <w:tc>
          <w:tcPr>
            <w:tcW w:w="2268" w:type="dxa"/>
            <w:shd w:val="clear" w:color="auto" w:fill="FFF2CC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 a 17/12/2022</w:t>
            </w:r>
          </w:p>
        </w:tc>
        <w:tc>
          <w:tcPr>
            <w:tcW w:w="1684" w:type="dxa"/>
            <w:shd w:val="clear" w:color="auto" w:fill="FFF2CC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06/12/2022</w:t>
            </w:r>
          </w:p>
        </w:tc>
        <w:tc>
          <w:tcPr>
            <w:tcW w:w="1637" w:type="dxa"/>
            <w:shd w:val="clear" w:color="auto" w:fill="FFF2CC"/>
          </w:tcPr>
          <w:p w:rsidR="00E85A6F" w:rsidRDefault="00464B9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21/12/2022</w:t>
            </w:r>
          </w:p>
        </w:tc>
      </w:tr>
    </w:tbl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E85A6F">
      <w:pPr>
        <w:jc w:val="both"/>
      </w:pPr>
    </w:p>
    <w:p w:rsidR="00E85A6F" w:rsidRDefault="00464B9F">
      <w:pPr>
        <w:jc w:val="both"/>
      </w:pPr>
      <w:r>
        <w:t>FICHA DE ACOMPANHAMENTO DOS DISCENTE</w:t>
      </w:r>
      <w:r w:rsidR="005D446C">
        <w:t>S</w:t>
      </w:r>
      <w:r>
        <w:t xml:space="preserve"> – ANEXO 2.</w:t>
      </w:r>
    </w:p>
    <w:p w:rsidR="00E85A6F" w:rsidRDefault="00E85A6F">
      <w:pPr>
        <w:jc w:val="both"/>
      </w:pPr>
    </w:p>
    <w:p w:rsidR="00E85A6F" w:rsidRDefault="00464B9F">
      <w:pPr>
        <w:jc w:val="both"/>
      </w:pPr>
      <w:r>
        <w:t>UNIDADE ESCOLAR .......</w:t>
      </w:r>
    </w:p>
    <w:p w:rsidR="00E85A6F" w:rsidRDefault="00464B9F">
      <w:pPr>
        <w:jc w:val="both"/>
      </w:pPr>
      <w:r>
        <w:t>PROFESSOR</w:t>
      </w:r>
      <w:r w:rsidR="005D446C">
        <w:t xml:space="preserve"> </w:t>
      </w:r>
      <w:r>
        <w:t>(A</w:t>
      </w:r>
      <w:r w:rsidR="005D446C">
        <w:t>) ............. TURMA ..... PERÍ</w:t>
      </w:r>
      <w:r>
        <w:t>ODO ......</w:t>
      </w:r>
    </w:p>
    <w:tbl>
      <w:tblPr>
        <w:tblStyle w:val="a0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428"/>
        <w:gridCol w:w="422"/>
        <w:gridCol w:w="418"/>
        <w:gridCol w:w="415"/>
        <w:gridCol w:w="426"/>
        <w:gridCol w:w="421"/>
        <w:gridCol w:w="416"/>
        <w:gridCol w:w="413"/>
        <w:gridCol w:w="395"/>
        <w:gridCol w:w="396"/>
        <w:gridCol w:w="395"/>
        <w:gridCol w:w="396"/>
        <w:gridCol w:w="412"/>
        <w:gridCol w:w="409"/>
        <w:gridCol w:w="406"/>
        <w:gridCol w:w="405"/>
        <w:gridCol w:w="798"/>
      </w:tblGrid>
      <w:tr w:rsidR="00E85A6F">
        <w:tc>
          <w:tcPr>
            <w:tcW w:w="10632" w:type="dxa"/>
            <w:gridSpan w:val="18"/>
          </w:tcPr>
          <w:p w:rsidR="00E85A6F" w:rsidRDefault="00464B9F">
            <w:pPr>
              <w:jc w:val="both"/>
            </w:pPr>
            <w:r>
              <w:t>FICHA DE ACOMPANHAMENTO DOS DISCENTE</w:t>
            </w:r>
            <w:r w:rsidR="00B75F9C">
              <w:t>S</w:t>
            </w:r>
            <w:r>
              <w:t xml:space="preserve"> -  AQ</w:t>
            </w:r>
          </w:p>
        </w:tc>
      </w:tr>
      <w:tr w:rsidR="00E85A6F">
        <w:trPr>
          <w:trHeight w:val="473"/>
        </w:trPr>
        <w:tc>
          <w:tcPr>
            <w:tcW w:w="3261" w:type="dxa"/>
            <w:vMerge w:val="restart"/>
          </w:tcPr>
          <w:p w:rsidR="00E85A6F" w:rsidRDefault="00464B9F">
            <w:pPr>
              <w:jc w:val="both"/>
            </w:pPr>
            <w:r>
              <w:t>ALUNOS</w:t>
            </w:r>
          </w:p>
          <w:p w:rsidR="00E85A6F" w:rsidRDefault="00E85A6F">
            <w:pPr>
              <w:jc w:val="both"/>
            </w:pPr>
          </w:p>
          <w:p w:rsidR="00E85A6F" w:rsidRDefault="00E85A6F">
            <w:pPr>
              <w:jc w:val="both"/>
            </w:pPr>
          </w:p>
        </w:tc>
        <w:tc>
          <w:tcPr>
            <w:tcW w:w="1683" w:type="dxa"/>
            <w:gridSpan w:val="4"/>
          </w:tcPr>
          <w:p w:rsidR="00E85A6F" w:rsidRDefault="00464B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ORALIDADE (3,0)</w:t>
            </w:r>
          </w:p>
        </w:tc>
        <w:tc>
          <w:tcPr>
            <w:tcW w:w="1676" w:type="dxa"/>
            <w:gridSpan w:val="4"/>
          </w:tcPr>
          <w:p w:rsidR="00E85A6F" w:rsidRDefault="00464B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EM SALA DE AULA (3,0)</w:t>
            </w:r>
          </w:p>
        </w:tc>
        <w:tc>
          <w:tcPr>
            <w:tcW w:w="1582" w:type="dxa"/>
            <w:gridSpan w:val="4"/>
          </w:tcPr>
          <w:p w:rsidR="00E85A6F" w:rsidRDefault="00464B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ATIV. CASA</w:t>
            </w:r>
          </w:p>
          <w:p w:rsidR="00E85A6F" w:rsidRDefault="00464B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(2,0)</w:t>
            </w:r>
          </w:p>
        </w:tc>
        <w:tc>
          <w:tcPr>
            <w:tcW w:w="1632" w:type="dxa"/>
            <w:gridSpan w:val="4"/>
          </w:tcPr>
          <w:p w:rsidR="00E85A6F" w:rsidRDefault="00464B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ATIV. EM SALA DE AULA (2,0)</w:t>
            </w:r>
          </w:p>
        </w:tc>
        <w:tc>
          <w:tcPr>
            <w:tcW w:w="798" w:type="dxa"/>
          </w:tcPr>
          <w:p w:rsidR="00E85A6F" w:rsidRDefault="00464B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</w:t>
            </w:r>
          </w:p>
        </w:tc>
      </w:tr>
      <w:tr w:rsidR="00E85A6F">
        <w:trPr>
          <w:cantSplit/>
          <w:trHeight w:val="1134"/>
        </w:trPr>
        <w:tc>
          <w:tcPr>
            <w:tcW w:w="3261" w:type="dxa"/>
            <w:vMerge/>
          </w:tcPr>
          <w:p w:rsidR="00E85A6F" w:rsidRDefault="00E85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09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E85A6F" w:rsidRDefault="00E85A6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  <w:rPr>
                <w:sz w:val="16"/>
                <w:szCs w:val="16"/>
              </w:rPr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  <w:tr w:rsidR="00E85A6F">
        <w:tc>
          <w:tcPr>
            <w:tcW w:w="3261" w:type="dxa"/>
          </w:tcPr>
          <w:p w:rsidR="00E85A6F" w:rsidRDefault="00E85A6F">
            <w:pPr>
              <w:jc w:val="both"/>
            </w:pPr>
          </w:p>
        </w:tc>
        <w:tc>
          <w:tcPr>
            <w:tcW w:w="428" w:type="dxa"/>
          </w:tcPr>
          <w:p w:rsidR="00E85A6F" w:rsidRDefault="00E85A6F">
            <w:pPr>
              <w:jc w:val="both"/>
            </w:pPr>
          </w:p>
        </w:tc>
        <w:tc>
          <w:tcPr>
            <w:tcW w:w="422" w:type="dxa"/>
          </w:tcPr>
          <w:p w:rsidR="00E85A6F" w:rsidRDefault="00E85A6F">
            <w:pPr>
              <w:jc w:val="both"/>
            </w:pPr>
          </w:p>
        </w:tc>
        <w:tc>
          <w:tcPr>
            <w:tcW w:w="418" w:type="dxa"/>
          </w:tcPr>
          <w:p w:rsidR="00E85A6F" w:rsidRDefault="00E85A6F">
            <w:pPr>
              <w:jc w:val="both"/>
            </w:pPr>
          </w:p>
        </w:tc>
        <w:tc>
          <w:tcPr>
            <w:tcW w:w="415" w:type="dxa"/>
          </w:tcPr>
          <w:p w:rsidR="00E85A6F" w:rsidRDefault="00E85A6F">
            <w:pPr>
              <w:jc w:val="both"/>
            </w:pPr>
          </w:p>
        </w:tc>
        <w:tc>
          <w:tcPr>
            <w:tcW w:w="426" w:type="dxa"/>
          </w:tcPr>
          <w:p w:rsidR="00E85A6F" w:rsidRDefault="00E85A6F">
            <w:pPr>
              <w:jc w:val="both"/>
            </w:pPr>
          </w:p>
        </w:tc>
        <w:tc>
          <w:tcPr>
            <w:tcW w:w="421" w:type="dxa"/>
          </w:tcPr>
          <w:p w:rsidR="00E85A6F" w:rsidRDefault="00E85A6F">
            <w:pPr>
              <w:jc w:val="both"/>
            </w:pPr>
          </w:p>
        </w:tc>
        <w:tc>
          <w:tcPr>
            <w:tcW w:w="416" w:type="dxa"/>
          </w:tcPr>
          <w:p w:rsidR="00E85A6F" w:rsidRDefault="00E85A6F">
            <w:pPr>
              <w:jc w:val="both"/>
            </w:pPr>
          </w:p>
        </w:tc>
        <w:tc>
          <w:tcPr>
            <w:tcW w:w="413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395" w:type="dxa"/>
          </w:tcPr>
          <w:p w:rsidR="00E85A6F" w:rsidRDefault="00E85A6F">
            <w:pPr>
              <w:jc w:val="both"/>
            </w:pPr>
          </w:p>
        </w:tc>
        <w:tc>
          <w:tcPr>
            <w:tcW w:w="396" w:type="dxa"/>
          </w:tcPr>
          <w:p w:rsidR="00E85A6F" w:rsidRDefault="00E85A6F">
            <w:pPr>
              <w:jc w:val="both"/>
            </w:pPr>
          </w:p>
        </w:tc>
        <w:tc>
          <w:tcPr>
            <w:tcW w:w="412" w:type="dxa"/>
          </w:tcPr>
          <w:p w:rsidR="00E85A6F" w:rsidRDefault="00E85A6F">
            <w:pPr>
              <w:jc w:val="both"/>
            </w:pPr>
          </w:p>
        </w:tc>
        <w:tc>
          <w:tcPr>
            <w:tcW w:w="409" w:type="dxa"/>
          </w:tcPr>
          <w:p w:rsidR="00E85A6F" w:rsidRDefault="00E85A6F">
            <w:pPr>
              <w:jc w:val="both"/>
            </w:pPr>
          </w:p>
        </w:tc>
        <w:tc>
          <w:tcPr>
            <w:tcW w:w="406" w:type="dxa"/>
          </w:tcPr>
          <w:p w:rsidR="00E85A6F" w:rsidRDefault="00E85A6F">
            <w:pPr>
              <w:jc w:val="both"/>
            </w:pPr>
          </w:p>
        </w:tc>
        <w:tc>
          <w:tcPr>
            <w:tcW w:w="405" w:type="dxa"/>
          </w:tcPr>
          <w:p w:rsidR="00E85A6F" w:rsidRDefault="00E85A6F">
            <w:pPr>
              <w:jc w:val="both"/>
            </w:pPr>
          </w:p>
        </w:tc>
        <w:tc>
          <w:tcPr>
            <w:tcW w:w="798" w:type="dxa"/>
          </w:tcPr>
          <w:p w:rsidR="00E85A6F" w:rsidRDefault="00E85A6F">
            <w:pPr>
              <w:jc w:val="both"/>
            </w:pPr>
          </w:p>
        </w:tc>
      </w:tr>
    </w:tbl>
    <w:p w:rsidR="00E85A6F" w:rsidRDefault="00E85A6F">
      <w:pPr>
        <w:jc w:val="both"/>
      </w:pPr>
    </w:p>
    <w:p w:rsidR="00E85A6F" w:rsidRDefault="00E85A6F">
      <w:pPr>
        <w:jc w:val="both"/>
      </w:pPr>
    </w:p>
    <w:sectPr w:rsidR="00E85A6F">
      <w:headerReference w:type="default" r:id="rId7"/>
      <w:footerReference w:type="default" r:id="rId8"/>
      <w:pgSz w:w="11906" w:h="16838"/>
      <w:pgMar w:top="1701" w:right="1134" w:bottom="1134" w:left="1701" w:header="709" w:footer="11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31F" w:rsidRDefault="005D431F">
      <w:pPr>
        <w:spacing w:line="240" w:lineRule="auto"/>
      </w:pPr>
      <w:r>
        <w:separator/>
      </w:r>
    </w:p>
  </w:endnote>
  <w:endnote w:type="continuationSeparator" w:id="0">
    <w:p w:rsidR="005D431F" w:rsidRDefault="005D4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6F" w:rsidRDefault="00464B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74105" cy="67626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262" t="90660" b="2003"/>
                  <a:stretch>
                    <a:fillRect/>
                  </a:stretch>
                </pic:blipFill>
                <pic:spPr>
                  <a:xfrm>
                    <a:off x="0" y="0"/>
                    <a:ext cx="6174105" cy="676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31F" w:rsidRDefault="005D431F">
      <w:pPr>
        <w:spacing w:line="240" w:lineRule="auto"/>
      </w:pPr>
      <w:r>
        <w:separator/>
      </w:r>
    </w:p>
  </w:footnote>
  <w:footnote w:type="continuationSeparator" w:id="0">
    <w:p w:rsidR="005D431F" w:rsidRDefault="005D4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6F" w:rsidRDefault="00464B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-461644</wp:posOffset>
          </wp:positionH>
          <wp:positionV relativeFrom="paragraph">
            <wp:posOffset>-73659</wp:posOffset>
          </wp:positionV>
          <wp:extent cx="1735974" cy="942975"/>
          <wp:effectExtent l="0" t="0" r="0" b="0"/>
          <wp:wrapNone/>
          <wp:docPr id="2" name="image2.png" descr="C:\Users\Ass. Administrativa\Downloads\WhatsApp Image 2021-01-25 at 12.47.3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ss. Administrativa\Downloads\WhatsApp Image 2021-01-25 at 12.47.34.jpeg"/>
                  <pic:cNvPicPr preferRelativeResize="0"/>
                </pic:nvPicPr>
                <pic:blipFill>
                  <a:blip r:embed="rId1"/>
                  <a:srcRect l="6611" t="4762" r="7036" b="13265"/>
                  <a:stretch>
                    <a:fillRect/>
                  </a:stretch>
                </pic:blipFill>
                <pic:spPr>
                  <a:xfrm>
                    <a:off x="0" y="0"/>
                    <a:ext cx="1735974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5A6F" w:rsidRDefault="00464B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977"/>
        <w:tab w:val="left" w:pos="4956"/>
      </w:tabs>
      <w:spacing w:line="240" w:lineRule="auto"/>
      <w:rPr>
        <w:rFonts w:ascii="Arial Black" w:eastAsia="Arial Black" w:hAnsi="Arial Black" w:cs="Arial Black"/>
        <w:color w:val="000000"/>
      </w:rPr>
    </w:pPr>
    <w:r>
      <w:rPr>
        <w:b/>
        <w:color w:val="000000"/>
        <w:sz w:val="28"/>
        <w:szCs w:val="28"/>
      </w:rPr>
      <w:t xml:space="preserve">                           </w:t>
    </w:r>
    <w:r>
      <w:rPr>
        <w:rFonts w:ascii="Arial Black" w:eastAsia="Arial Black" w:hAnsi="Arial Black" w:cs="Arial Black"/>
        <w:color w:val="000000"/>
      </w:rPr>
      <w:t xml:space="preserve">REDE PÚBLICA MUNICIPAL DE JOÃO COSTA -PI     </w:t>
    </w:r>
  </w:p>
  <w:p w:rsidR="00E85A6F" w:rsidRDefault="00464B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977"/>
        <w:tab w:val="left" w:pos="4956"/>
      </w:tabs>
      <w:spacing w:line="240" w:lineRule="auto"/>
      <w:rPr>
        <w:b/>
        <w:color w:val="000000"/>
        <w:sz w:val="28"/>
        <w:szCs w:val="28"/>
      </w:rPr>
    </w:pPr>
    <w:r>
      <w:rPr>
        <w:rFonts w:ascii="Arial Black" w:eastAsia="Arial Black" w:hAnsi="Arial Black" w:cs="Arial Black"/>
        <w:color w:val="000000"/>
      </w:rPr>
      <w:t xml:space="preserve">                                         SECRETARIA DE EDUCAÇÃO</w:t>
    </w:r>
  </w:p>
  <w:p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779DD"/>
    <w:multiLevelType w:val="multilevel"/>
    <w:tmpl w:val="B16857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6F"/>
    <w:rsid w:val="005D431F"/>
    <w:rsid w:val="005D446C"/>
    <w:rsid w:val="007A7A65"/>
    <w:rsid w:val="00B75F9C"/>
    <w:rsid w:val="00E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EF1D0-95F8-41B4-8337-E1BBAD18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4"/>
        <w:szCs w:val="24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1436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JC 03</dc:creator>
  <cp:lastModifiedBy>Prefeitura JC 03</cp:lastModifiedBy>
  <cp:revision>2</cp:revision>
  <dcterms:created xsi:type="dcterms:W3CDTF">2022-04-13T12:12:00Z</dcterms:created>
  <dcterms:modified xsi:type="dcterms:W3CDTF">2022-04-13T12:12:00Z</dcterms:modified>
</cp:coreProperties>
</file>